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1" w:rsidRPr="000C27E0" w:rsidRDefault="004D7601" w:rsidP="000C27E0">
      <w:pPr>
        <w:spacing w:afterLines="100" w:after="360" w:line="600" w:lineRule="exact"/>
        <w:ind w:rightChars="-47" w:right="-113"/>
        <w:jc w:val="center"/>
        <w:rPr>
          <w:rFonts w:ascii="Arial" w:eastAsia="標楷體" w:hAnsi="Arial" w:cs="Arial"/>
          <w:b/>
          <w:sz w:val="40"/>
          <w:szCs w:val="40"/>
        </w:rPr>
      </w:pPr>
      <w:r w:rsidRPr="000C27E0">
        <w:rPr>
          <w:rFonts w:ascii="Arial" w:eastAsia="標楷體" w:hAnsi="Arial" w:cs="Arial"/>
          <w:b/>
          <w:sz w:val="40"/>
          <w:szCs w:val="40"/>
        </w:rPr>
        <w:t>Applying overseas Chinese or foreigners for managerial work of investing or establishing businesses as approved by the government, the employers are exempted from the restriction of revenue, capital, or work performance (Subparagraph 4, Article 39 of the Qualifications and Criteria Standards for Foreigners Undertaking the Jobs Specified under Subparagraphs 1 through 6, Paragraph 1, Article 46 of the Employment Service Act) project consultation regulations</w:t>
      </w:r>
    </w:p>
    <w:p w:rsidR="004D7601" w:rsidRPr="000C27E0" w:rsidRDefault="004D7601" w:rsidP="000C27E0">
      <w:pPr>
        <w:spacing w:line="480" w:lineRule="exact"/>
        <w:ind w:left="709" w:hanging="709"/>
        <w:jc w:val="both"/>
        <w:rPr>
          <w:rFonts w:ascii="Arial" w:eastAsia="標楷體" w:hAnsi="Arial" w:cs="Arial"/>
          <w:sz w:val="28"/>
          <w:szCs w:val="28"/>
        </w:rPr>
      </w:pPr>
      <w:r w:rsidRPr="000C27E0">
        <w:rPr>
          <w:rFonts w:ascii="Arial" w:eastAsia="標楷體" w:hAnsi="Arial" w:cs="Arial"/>
          <w:sz w:val="28"/>
          <w:szCs w:val="28"/>
        </w:rPr>
        <w:t>I.</w:t>
      </w:r>
      <w:r w:rsidR="000C27E0">
        <w:rPr>
          <w:rFonts w:ascii="Arial" w:eastAsia="標楷體" w:hAnsi="Arial" w:cs="Arial" w:hint="eastAsia"/>
          <w:sz w:val="28"/>
          <w:szCs w:val="28"/>
        </w:rPr>
        <w:tab/>
      </w:r>
      <w:r w:rsidRPr="000C27E0">
        <w:rPr>
          <w:rFonts w:ascii="Arial" w:eastAsia="標楷體" w:hAnsi="Arial" w:cs="Arial"/>
          <w:sz w:val="28"/>
          <w:szCs w:val="28"/>
        </w:rPr>
        <w:t>Legal Basis: Based on the provisions of Subparagraph</w:t>
      </w:r>
      <w:r w:rsidR="008921E9" w:rsidRPr="000C27E0">
        <w:rPr>
          <w:rFonts w:ascii="Arial" w:eastAsia="標楷體" w:hAnsi="Arial" w:cs="Arial"/>
          <w:sz w:val="28"/>
          <w:szCs w:val="28"/>
        </w:rPr>
        <w:t xml:space="preserve"> 4, Article 39</w:t>
      </w:r>
      <w:r w:rsidR="0001328A" w:rsidRPr="000C27E0">
        <w:rPr>
          <w:rFonts w:ascii="Arial" w:eastAsia="標楷體" w:hAnsi="Arial" w:cs="Arial"/>
          <w:sz w:val="28"/>
          <w:szCs w:val="28"/>
        </w:rPr>
        <w:t xml:space="preserve"> of the Criteria Standards</w:t>
      </w:r>
      <w:r w:rsidR="0057565E" w:rsidRPr="000C27E0">
        <w:rPr>
          <w:rFonts w:ascii="Arial" w:eastAsia="標楷體" w:hAnsi="Arial" w:cs="Arial"/>
          <w:sz w:val="28"/>
          <w:szCs w:val="28"/>
        </w:rPr>
        <w:t>, those</w:t>
      </w:r>
      <w:r w:rsidR="008921E9" w:rsidRPr="000C27E0">
        <w:rPr>
          <w:rFonts w:ascii="Arial" w:eastAsia="標楷體" w:hAnsi="Arial" w:cs="Arial"/>
          <w:sz w:val="28"/>
          <w:szCs w:val="28"/>
        </w:rPr>
        <w:t xml:space="preserve"> employer</w:t>
      </w:r>
      <w:r w:rsidR="0057565E" w:rsidRPr="000C27E0">
        <w:rPr>
          <w:rFonts w:ascii="Arial" w:eastAsia="標楷體" w:hAnsi="Arial" w:cs="Arial"/>
          <w:sz w:val="28"/>
          <w:szCs w:val="28"/>
        </w:rPr>
        <w:t>s who</w:t>
      </w:r>
      <w:r w:rsidR="008921E9" w:rsidRPr="000C27E0">
        <w:rPr>
          <w:rFonts w:ascii="Arial" w:eastAsia="標楷體" w:hAnsi="Arial" w:cs="Arial"/>
          <w:sz w:val="28"/>
          <w:szCs w:val="28"/>
        </w:rPr>
        <w:t xml:space="preserve"> ha</w:t>
      </w:r>
      <w:r w:rsidR="0057565E" w:rsidRPr="000C27E0">
        <w:rPr>
          <w:rFonts w:ascii="Arial" w:eastAsia="標楷體" w:hAnsi="Arial" w:cs="Arial"/>
          <w:sz w:val="28"/>
          <w:szCs w:val="28"/>
        </w:rPr>
        <w:t>ve</w:t>
      </w:r>
      <w:r w:rsidR="008921E9" w:rsidRPr="000C27E0">
        <w:rPr>
          <w:rFonts w:ascii="Arial" w:eastAsia="標楷體" w:hAnsi="Arial" w:cs="Arial"/>
          <w:sz w:val="28"/>
          <w:szCs w:val="28"/>
        </w:rPr>
        <w:t xml:space="preserve"> made substantial contribution</w:t>
      </w:r>
      <w:r w:rsidR="0057565E" w:rsidRPr="000C27E0">
        <w:rPr>
          <w:rFonts w:ascii="Arial" w:eastAsia="標楷體" w:hAnsi="Arial" w:cs="Arial"/>
          <w:sz w:val="28"/>
          <w:szCs w:val="28"/>
        </w:rPr>
        <w:t>s</w:t>
      </w:r>
      <w:r w:rsidR="008921E9" w:rsidRPr="000C27E0">
        <w:rPr>
          <w:rFonts w:ascii="Arial" w:eastAsia="標楷體" w:hAnsi="Arial" w:cs="Arial"/>
          <w:sz w:val="28"/>
          <w:szCs w:val="28"/>
        </w:rPr>
        <w:t xml:space="preserve"> to the domestic economic development. Alternatively, he, she, or it has a special circumstance that is treated as a special case by the central competent authority after consultation with the </w:t>
      </w:r>
      <w:r w:rsidR="00F543C0" w:rsidRPr="000C27E0">
        <w:rPr>
          <w:rFonts w:ascii="Arial" w:eastAsia="標楷體" w:hAnsi="Arial" w:cs="Arial"/>
          <w:sz w:val="28"/>
          <w:szCs w:val="28"/>
        </w:rPr>
        <w:t xml:space="preserve">authority concerned at the </w:t>
      </w:r>
      <w:r w:rsidR="007D1530" w:rsidRPr="000C27E0">
        <w:rPr>
          <w:rFonts w:ascii="Arial" w:eastAsia="標楷體" w:hAnsi="Arial" w:cs="Arial"/>
          <w:sz w:val="28"/>
          <w:szCs w:val="28"/>
        </w:rPr>
        <w:t xml:space="preserve">central </w:t>
      </w:r>
      <w:r w:rsidR="00F543C0" w:rsidRPr="000C27E0">
        <w:rPr>
          <w:rFonts w:ascii="Arial" w:eastAsia="標楷體" w:hAnsi="Arial" w:cs="Arial"/>
          <w:sz w:val="28"/>
          <w:szCs w:val="28"/>
        </w:rPr>
        <w:t>government level</w:t>
      </w:r>
      <w:r w:rsidR="008921E9" w:rsidRPr="000C27E0">
        <w:rPr>
          <w:rFonts w:ascii="Arial" w:eastAsia="標楷體" w:hAnsi="Arial" w:cs="Arial"/>
          <w:sz w:val="28"/>
          <w:szCs w:val="28"/>
        </w:rPr>
        <w:t>.</w:t>
      </w:r>
    </w:p>
    <w:p w:rsidR="0057565E" w:rsidRPr="000C27E0" w:rsidRDefault="0057565E" w:rsidP="000C27E0">
      <w:pPr>
        <w:spacing w:line="480" w:lineRule="exact"/>
        <w:ind w:left="709" w:hanging="709"/>
        <w:jc w:val="both"/>
        <w:rPr>
          <w:rFonts w:ascii="Arial" w:eastAsia="標楷體" w:hAnsi="Arial" w:cs="Arial"/>
          <w:sz w:val="28"/>
          <w:szCs w:val="28"/>
        </w:rPr>
      </w:pPr>
      <w:r w:rsidRPr="000C27E0">
        <w:rPr>
          <w:rFonts w:ascii="Arial" w:eastAsia="標楷體" w:hAnsi="Arial" w:cs="Arial"/>
          <w:sz w:val="28"/>
          <w:szCs w:val="28"/>
        </w:rPr>
        <w:t>II.</w:t>
      </w:r>
      <w:r w:rsidR="000C27E0">
        <w:rPr>
          <w:rFonts w:ascii="Arial" w:eastAsia="標楷體" w:hAnsi="Arial" w:cs="Arial" w:hint="eastAsia"/>
          <w:sz w:val="28"/>
          <w:szCs w:val="28"/>
        </w:rPr>
        <w:tab/>
      </w:r>
      <w:r w:rsidRPr="000C27E0">
        <w:rPr>
          <w:rFonts w:ascii="Arial" w:eastAsia="標楷體" w:hAnsi="Arial" w:cs="Arial"/>
          <w:sz w:val="28"/>
          <w:szCs w:val="28"/>
        </w:rPr>
        <w:t>Project consultation category is split into general case consultation and individual case consultation:</w:t>
      </w:r>
    </w:p>
    <w:p w:rsidR="0057565E" w:rsidRPr="000C27E0" w:rsidRDefault="0057565E" w:rsidP="000C27E0">
      <w:pPr>
        <w:spacing w:line="480" w:lineRule="exact"/>
        <w:ind w:left="1134" w:hanging="710"/>
        <w:jc w:val="both"/>
        <w:rPr>
          <w:rFonts w:ascii="Arial" w:eastAsia="標楷體" w:hAnsi="Arial" w:cs="Arial"/>
          <w:sz w:val="28"/>
          <w:szCs w:val="28"/>
        </w:rPr>
      </w:pPr>
      <w:r w:rsidRPr="000C27E0">
        <w:rPr>
          <w:rFonts w:ascii="Arial" w:eastAsia="標楷體" w:hAnsi="Arial" w:cs="Arial"/>
          <w:sz w:val="28"/>
          <w:szCs w:val="28"/>
        </w:rPr>
        <w:t>A.</w:t>
      </w:r>
      <w:r w:rsidR="000C27E0">
        <w:rPr>
          <w:rFonts w:ascii="Arial" w:eastAsia="標楷體" w:hAnsi="Arial" w:cs="Arial" w:hint="eastAsia"/>
          <w:sz w:val="28"/>
          <w:szCs w:val="28"/>
        </w:rPr>
        <w:tab/>
      </w:r>
      <w:r w:rsidRPr="000C27E0">
        <w:rPr>
          <w:rFonts w:ascii="Arial" w:eastAsia="標楷體" w:hAnsi="Arial" w:cs="Arial"/>
          <w:sz w:val="28"/>
          <w:szCs w:val="28"/>
        </w:rPr>
        <w:t>General Case Consultation: According to the Order Lao-Tung-Fa-Guan-Tzu No. 10405039351</w:t>
      </w:r>
      <w:r w:rsidR="00286C8E" w:rsidRPr="000C27E0">
        <w:rPr>
          <w:rFonts w:ascii="Arial" w:eastAsia="標楷體" w:hAnsi="Arial" w:cs="Arial"/>
          <w:sz w:val="28"/>
          <w:szCs w:val="28"/>
        </w:rPr>
        <w:t xml:space="preserve"> of the Ministry on April 8</w:t>
      </w:r>
      <w:r w:rsidR="00286C8E" w:rsidRPr="000C27E0">
        <w:rPr>
          <w:rFonts w:ascii="Arial" w:eastAsia="標楷體" w:hAnsi="Arial" w:cs="Arial"/>
          <w:sz w:val="28"/>
          <w:szCs w:val="28"/>
          <w:vertAlign w:val="superscript"/>
        </w:rPr>
        <w:t>th</w:t>
      </w:r>
      <w:r w:rsidR="00286C8E" w:rsidRPr="000C27E0">
        <w:rPr>
          <w:rFonts w:ascii="Arial" w:eastAsia="標楷體" w:hAnsi="Arial" w:cs="Arial"/>
          <w:sz w:val="28"/>
          <w:szCs w:val="28"/>
        </w:rPr>
        <w:t>, 2015</w:t>
      </w:r>
      <w:r w:rsidRPr="000C27E0">
        <w:rPr>
          <w:rFonts w:ascii="Arial" w:eastAsia="標楷體" w:hAnsi="Arial" w:cs="Arial"/>
          <w:sz w:val="28"/>
          <w:szCs w:val="28"/>
        </w:rPr>
        <w:t xml:space="preserve">, interpreting </w:t>
      </w:r>
      <w:r w:rsidR="007D1530" w:rsidRPr="000C27E0">
        <w:rPr>
          <w:rFonts w:ascii="Arial" w:eastAsia="標楷體" w:hAnsi="Arial" w:cs="Arial"/>
          <w:sz w:val="28"/>
          <w:szCs w:val="28"/>
        </w:rPr>
        <w:t xml:space="preserve">those who have made substantial contributions to the domestic economic development or, due to special circumstances, those that are treated as special cases </w:t>
      </w:r>
      <w:r w:rsidRPr="000C27E0">
        <w:rPr>
          <w:rFonts w:ascii="Arial" w:eastAsia="標楷體" w:hAnsi="Arial" w:cs="Arial"/>
          <w:sz w:val="28"/>
          <w:szCs w:val="28"/>
        </w:rPr>
        <w:lastRenderedPageBreak/>
        <w:t xml:space="preserve">by the central competent authority after consultation with the </w:t>
      </w:r>
      <w:r w:rsidR="00F543C0" w:rsidRPr="000C27E0">
        <w:rPr>
          <w:rFonts w:ascii="Arial" w:eastAsia="標楷體" w:hAnsi="Arial" w:cs="Arial"/>
          <w:sz w:val="28"/>
          <w:szCs w:val="28"/>
        </w:rPr>
        <w:t xml:space="preserve">authority concerned at the </w:t>
      </w:r>
      <w:r w:rsidR="007D1530" w:rsidRPr="000C27E0">
        <w:rPr>
          <w:rFonts w:ascii="Arial" w:eastAsia="標楷體" w:hAnsi="Arial" w:cs="Arial"/>
          <w:sz w:val="28"/>
          <w:szCs w:val="28"/>
        </w:rPr>
        <w:t xml:space="preserve">central </w:t>
      </w:r>
      <w:r w:rsidR="00F543C0" w:rsidRPr="000C27E0">
        <w:rPr>
          <w:rFonts w:ascii="Arial" w:eastAsia="標楷體" w:hAnsi="Arial" w:cs="Arial"/>
          <w:sz w:val="28"/>
          <w:szCs w:val="28"/>
        </w:rPr>
        <w:t>government level</w:t>
      </w:r>
      <w:r w:rsidR="007D1530" w:rsidRPr="000C27E0">
        <w:rPr>
          <w:rFonts w:ascii="Arial" w:eastAsia="標楷體" w:hAnsi="Arial" w:cs="Arial"/>
          <w:sz w:val="28"/>
          <w:szCs w:val="28"/>
        </w:rPr>
        <w:t xml:space="preserve"> as stipulated in Subparagraph 4, Article 39 of the Criteria Standards, referring to employers as </w:t>
      </w:r>
      <w:r w:rsidR="005C0191" w:rsidRPr="000C27E0">
        <w:rPr>
          <w:rFonts w:ascii="Arial" w:eastAsia="標楷體" w:hAnsi="Arial" w:cs="Arial"/>
          <w:sz w:val="28"/>
          <w:szCs w:val="28"/>
        </w:rPr>
        <w:t xml:space="preserve">business entities invested by overseas Chinese or foreigners complying with definitions of a “startup with innovation capability” listed in the </w:t>
      </w:r>
      <w:proofErr w:type="spellStart"/>
      <w:r w:rsidR="005C0191" w:rsidRPr="000C27E0">
        <w:rPr>
          <w:rFonts w:ascii="Arial" w:eastAsia="標楷體" w:hAnsi="Arial" w:cs="Arial"/>
          <w:sz w:val="28"/>
          <w:szCs w:val="28"/>
        </w:rPr>
        <w:t>HeadStart</w:t>
      </w:r>
      <w:proofErr w:type="spellEnd"/>
      <w:r w:rsidR="005C0191" w:rsidRPr="000C27E0">
        <w:rPr>
          <w:rFonts w:ascii="Arial" w:eastAsia="標楷體" w:hAnsi="Arial" w:cs="Arial"/>
          <w:sz w:val="28"/>
          <w:szCs w:val="28"/>
        </w:rPr>
        <w:t xml:space="preserve"> Taiwan Program and submit verifying documents proving </w:t>
      </w:r>
      <w:r w:rsidR="009645FE" w:rsidRPr="000C27E0">
        <w:rPr>
          <w:rFonts w:ascii="Arial" w:eastAsia="標楷體" w:hAnsi="Arial" w:cs="Arial"/>
          <w:sz w:val="28"/>
          <w:szCs w:val="28"/>
        </w:rPr>
        <w:t>the establishment has</w:t>
      </w:r>
      <w:r w:rsidR="005C0191" w:rsidRPr="000C27E0">
        <w:rPr>
          <w:rFonts w:ascii="Arial" w:eastAsia="標楷體" w:hAnsi="Arial" w:cs="Arial"/>
          <w:sz w:val="28"/>
          <w:szCs w:val="28"/>
        </w:rPr>
        <w:t xml:space="preserve"> </w:t>
      </w:r>
      <w:r w:rsidR="009645FE" w:rsidRPr="000C27E0">
        <w:rPr>
          <w:rFonts w:ascii="Arial" w:eastAsia="標楷體" w:hAnsi="Arial" w:cs="Arial"/>
          <w:sz w:val="28"/>
          <w:szCs w:val="28"/>
        </w:rPr>
        <w:t>not exceeded</w:t>
      </w:r>
      <w:r w:rsidR="005C0191" w:rsidRPr="000C27E0">
        <w:rPr>
          <w:rFonts w:ascii="Arial" w:eastAsia="標楷體" w:hAnsi="Arial" w:cs="Arial"/>
          <w:sz w:val="28"/>
          <w:szCs w:val="28"/>
        </w:rPr>
        <w:t xml:space="preserve"> five years and other relevant documents proving </w:t>
      </w:r>
      <w:r w:rsidR="009645FE" w:rsidRPr="000C27E0">
        <w:rPr>
          <w:rFonts w:ascii="Arial" w:eastAsia="標楷體" w:hAnsi="Arial" w:cs="Arial"/>
          <w:sz w:val="28"/>
          <w:szCs w:val="28"/>
        </w:rPr>
        <w:t xml:space="preserve">one of the following </w:t>
      </w:r>
      <w:r w:rsidR="005C0191" w:rsidRPr="000C27E0">
        <w:rPr>
          <w:rFonts w:ascii="Arial" w:eastAsia="標楷體" w:hAnsi="Arial" w:cs="Arial"/>
          <w:sz w:val="28"/>
          <w:szCs w:val="28"/>
        </w:rPr>
        <w:t>qualifications in accordance with the Company Act or Business Registration Act of Taiwan: (</w:t>
      </w:r>
      <w:hyperlink r:id="rId8" w:history="1">
        <w:r w:rsidR="009645FE" w:rsidRPr="002F00BB">
          <w:rPr>
            <w:rStyle w:val="a8"/>
            <w:rFonts w:ascii="Arial" w:eastAsia="標楷體" w:hAnsi="Arial" w:cs="Arial"/>
            <w:sz w:val="28"/>
            <w:szCs w:val="28"/>
          </w:rPr>
          <w:t xml:space="preserve">Required </w:t>
        </w:r>
        <w:r w:rsidR="005C0191" w:rsidRPr="002F00BB">
          <w:rPr>
            <w:rStyle w:val="a8"/>
            <w:rFonts w:ascii="Arial" w:eastAsia="標楷體" w:hAnsi="Arial" w:cs="Arial"/>
            <w:sz w:val="28"/>
            <w:szCs w:val="28"/>
          </w:rPr>
          <w:t xml:space="preserve">Documents </w:t>
        </w:r>
        <w:r w:rsidR="009645FE" w:rsidRPr="002F00BB">
          <w:rPr>
            <w:rStyle w:val="a8"/>
            <w:rFonts w:ascii="Arial" w:eastAsia="標楷體" w:hAnsi="Arial" w:cs="Arial"/>
            <w:sz w:val="28"/>
            <w:szCs w:val="28"/>
          </w:rPr>
          <w:t>for HeadStart Taiwan Program</w:t>
        </w:r>
      </w:hyperlink>
      <w:bookmarkStart w:id="0" w:name="_GoBack"/>
      <w:bookmarkEnd w:id="0"/>
      <w:r w:rsidR="009645FE" w:rsidRPr="000C27E0">
        <w:rPr>
          <w:rFonts w:ascii="Arial" w:eastAsia="標楷體" w:hAnsi="Arial" w:cs="Arial"/>
          <w:sz w:val="28"/>
          <w:szCs w:val="28"/>
        </w:rPr>
        <w:t>)</w:t>
      </w:r>
    </w:p>
    <w:p w:rsidR="009645FE" w:rsidRPr="000C27E0" w:rsidRDefault="009645FE" w:rsidP="000C27E0">
      <w:pPr>
        <w:spacing w:line="480" w:lineRule="exact"/>
        <w:ind w:left="1560" w:hanging="416"/>
        <w:jc w:val="both"/>
        <w:rPr>
          <w:rFonts w:ascii="Arial" w:eastAsia="標楷體" w:hAnsi="Arial" w:cs="Arial"/>
          <w:sz w:val="28"/>
          <w:szCs w:val="28"/>
        </w:rPr>
      </w:pPr>
      <w:r w:rsidRPr="000C27E0">
        <w:rPr>
          <w:rFonts w:ascii="Arial" w:eastAsia="標楷體" w:hAnsi="Arial" w:cs="Arial"/>
          <w:sz w:val="28"/>
          <w:szCs w:val="28"/>
        </w:rPr>
        <w:t>1.</w:t>
      </w:r>
      <w:r w:rsidR="000C27E0">
        <w:rPr>
          <w:rFonts w:ascii="Arial" w:eastAsia="標楷體" w:hAnsi="Arial" w:cs="Arial" w:hint="eastAsia"/>
          <w:sz w:val="28"/>
          <w:szCs w:val="28"/>
        </w:rPr>
        <w:tab/>
      </w:r>
      <w:r w:rsidRPr="000C27E0">
        <w:rPr>
          <w:rFonts w:ascii="Arial" w:eastAsia="標楷體" w:hAnsi="Arial" w:cs="Arial"/>
          <w:sz w:val="28"/>
          <w:szCs w:val="28"/>
        </w:rPr>
        <w:t>Those business entities that have obtained funds amounting to over NT$2,000,000 from venture capitalists inside or outside Taiwan.</w:t>
      </w:r>
    </w:p>
    <w:p w:rsidR="009645FE" w:rsidRPr="000C27E0" w:rsidRDefault="009645FE" w:rsidP="000C27E0">
      <w:pPr>
        <w:spacing w:line="480" w:lineRule="exact"/>
        <w:ind w:left="1560" w:hanging="416"/>
        <w:jc w:val="both"/>
        <w:rPr>
          <w:rFonts w:ascii="Arial" w:eastAsia="標楷體" w:hAnsi="Arial" w:cs="Arial"/>
          <w:sz w:val="28"/>
          <w:szCs w:val="28"/>
        </w:rPr>
      </w:pPr>
      <w:r w:rsidRPr="000C27E0">
        <w:rPr>
          <w:rFonts w:ascii="Arial" w:eastAsia="標楷體" w:hAnsi="Arial" w:cs="Arial"/>
          <w:sz w:val="28"/>
          <w:szCs w:val="28"/>
        </w:rPr>
        <w:t>2.</w:t>
      </w:r>
      <w:r w:rsidR="000C27E0">
        <w:rPr>
          <w:rFonts w:ascii="Arial" w:eastAsia="標楷體" w:hAnsi="Arial" w:cs="Arial" w:hint="eastAsia"/>
          <w:sz w:val="28"/>
          <w:szCs w:val="28"/>
        </w:rPr>
        <w:tab/>
      </w:r>
      <w:r w:rsidRPr="000C27E0">
        <w:rPr>
          <w:rFonts w:ascii="Arial" w:eastAsia="標楷體" w:hAnsi="Arial" w:cs="Arial"/>
          <w:sz w:val="28"/>
          <w:szCs w:val="28"/>
        </w:rPr>
        <w:t xml:space="preserve">Those business entities that have completed registration at the Go Incubation Board for Startup and Acceleration Firms (GISA) of the </w:t>
      </w:r>
      <w:proofErr w:type="spellStart"/>
      <w:r w:rsidRPr="000C27E0">
        <w:rPr>
          <w:rFonts w:ascii="Arial" w:eastAsia="標楷體" w:hAnsi="Arial" w:cs="Arial"/>
          <w:sz w:val="28"/>
          <w:szCs w:val="28"/>
        </w:rPr>
        <w:t>GreTai</w:t>
      </w:r>
      <w:proofErr w:type="spellEnd"/>
      <w:r w:rsidRPr="000C27E0">
        <w:rPr>
          <w:rFonts w:ascii="Arial" w:eastAsia="標楷體" w:hAnsi="Arial" w:cs="Arial"/>
          <w:sz w:val="28"/>
          <w:szCs w:val="28"/>
        </w:rPr>
        <w:t xml:space="preserve"> Securities Market.</w:t>
      </w:r>
    </w:p>
    <w:p w:rsidR="009645FE" w:rsidRPr="000C27E0" w:rsidRDefault="009645FE" w:rsidP="000C27E0">
      <w:pPr>
        <w:spacing w:line="480" w:lineRule="exact"/>
        <w:ind w:left="1560" w:hanging="416"/>
        <w:jc w:val="both"/>
        <w:rPr>
          <w:rFonts w:ascii="Arial" w:eastAsia="標楷體" w:hAnsi="Arial" w:cs="Arial"/>
          <w:sz w:val="28"/>
          <w:szCs w:val="28"/>
        </w:rPr>
      </w:pPr>
      <w:r w:rsidRPr="000C27E0">
        <w:rPr>
          <w:rFonts w:ascii="Arial" w:eastAsia="標楷體" w:hAnsi="Arial" w:cs="Arial"/>
          <w:sz w:val="28"/>
          <w:szCs w:val="28"/>
        </w:rPr>
        <w:t>3.</w:t>
      </w:r>
      <w:r w:rsidR="000C27E0">
        <w:rPr>
          <w:rFonts w:ascii="Arial" w:eastAsia="標楷體" w:hAnsi="Arial" w:cs="Arial" w:hint="eastAsia"/>
          <w:sz w:val="28"/>
          <w:szCs w:val="28"/>
        </w:rPr>
        <w:tab/>
      </w:r>
      <w:r w:rsidRPr="000C27E0">
        <w:rPr>
          <w:rFonts w:ascii="Arial" w:eastAsia="標楷體" w:hAnsi="Arial" w:cs="Arial"/>
          <w:sz w:val="28"/>
          <w:szCs w:val="28"/>
        </w:rPr>
        <w:t>Those business entities that have obtained an invention patent from Taiwan or have obtained the patent rights through authorization or transfer of control with registration completed at the MOEA’s Intellectual Property Office (TIPO).</w:t>
      </w:r>
    </w:p>
    <w:p w:rsidR="009645FE" w:rsidRPr="000C27E0" w:rsidRDefault="009645FE" w:rsidP="000C27E0">
      <w:pPr>
        <w:spacing w:line="480" w:lineRule="exact"/>
        <w:ind w:left="1560" w:hanging="416"/>
        <w:jc w:val="both"/>
        <w:rPr>
          <w:rFonts w:ascii="Arial" w:eastAsia="標楷體" w:hAnsi="Arial" w:cs="Arial"/>
          <w:sz w:val="28"/>
          <w:szCs w:val="28"/>
        </w:rPr>
      </w:pPr>
      <w:r w:rsidRPr="000C27E0">
        <w:rPr>
          <w:rFonts w:ascii="Arial" w:eastAsia="標楷體" w:hAnsi="Arial" w:cs="Arial"/>
          <w:sz w:val="28"/>
          <w:szCs w:val="28"/>
        </w:rPr>
        <w:t>4.</w:t>
      </w:r>
      <w:r w:rsidR="000C27E0">
        <w:rPr>
          <w:rFonts w:ascii="Arial" w:eastAsia="標楷體" w:hAnsi="Arial" w:cs="Arial" w:hint="eastAsia"/>
          <w:sz w:val="28"/>
          <w:szCs w:val="28"/>
        </w:rPr>
        <w:tab/>
      </w:r>
      <w:r w:rsidRPr="000C27E0">
        <w:rPr>
          <w:rFonts w:ascii="Arial" w:eastAsia="標楷體" w:hAnsi="Arial" w:cs="Arial"/>
          <w:sz w:val="28"/>
          <w:szCs w:val="28"/>
        </w:rPr>
        <w:t>The business entities have set up the offices at the Taipei Expo Park which is assigned as a new cluster for startups by the Executive Yuan, the incubators managed by or in partnership with the M</w:t>
      </w:r>
      <w:r w:rsidR="00C3384D" w:rsidRPr="000C27E0">
        <w:rPr>
          <w:rFonts w:ascii="Arial" w:eastAsia="標楷體" w:hAnsi="Arial" w:cs="Arial"/>
          <w:sz w:val="28"/>
          <w:szCs w:val="28"/>
        </w:rPr>
        <w:t>inistry of Economic Affairs</w:t>
      </w:r>
      <w:r w:rsidRPr="000C27E0">
        <w:rPr>
          <w:rFonts w:ascii="Arial" w:eastAsia="標楷體" w:hAnsi="Arial" w:cs="Arial"/>
          <w:sz w:val="28"/>
          <w:szCs w:val="28"/>
        </w:rPr>
        <w:t>, and the incubators r</w:t>
      </w:r>
      <w:r w:rsidR="00C3384D" w:rsidRPr="000C27E0">
        <w:rPr>
          <w:rFonts w:ascii="Arial" w:eastAsia="標楷體" w:hAnsi="Arial" w:cs="Arial"/>
          <w:sz w:val="28"/>
          <w:szCs w:val="28"/>
        </w:rPr>
        <w:t xml:space="preserve">ated excellent by </w:t>
      </w:r>
      <w:r w:rsidR="00FE02A5" w:rsidRPr="000C27E0">
        <w:rPr>
          <w:rFonts w:ascii="Arial" w:eastAsia="標楷體" w:hAnsi="Arial" w:cs="Arial"/>
          <w:sz w:val="28"/>
          <w:szCs w:val="28"/>
        </w:rPr>
        <w:t xml:space="preserve">said </w:t>
      </w:r>
      <w:r w:rsidR="00C3384D" w:rsidRPr="000C27E0">
        <w:rPr>
          <w:rFonts w:ascii="Arial" w:eastAsia="標楷體" w:hAnsi="Arial" w:cs="Arial"/>
          <w:sz w:val="28"/>
          <w:szCs w:val="28"/>
        </w:rPr>
        <w:t xml:space="preserve">Ministry </w:t>
      </w:r>
      <w:r w:rsidRPr="000C27E0">
        <w:rPr>
          <w:rFonts w:ascii="Arial" w:eastAsia="標楷體" w:hAnsi="Arial" w:cs="Arial"/>
          <w:sz w:val="28"/>
          <w:szCs w:val="28"/>
        </w:rPr>
        <w:t xml:space="preserve">within three </w:t>
      </w:r>
      <w:r w:rsidRPr="000C27E0">
        <w:rPr>
          <w:rFonts w:ascii="Arial" w:eastAsia="標楷體" w:hAnsi="Arial" w:cs="Arial"/>
          <w:sz w:val="28"/>
          <w:szCs w:val="28"/>
        </w:rPr>
        <w:lastRenderedPageBreak/>
        <w:t>years.</w:t>
      </w:r>
    </w:p>
    <w:p w:rsidR="00C3384D" w:rsidRPr="000C27E0" w:rsidRDefault="00C3384D" w:rsidP="000C27E0">
      <w:pPr>
        <w:spacing w:line="480" w:lineRule="exact"/>
        <w:ind w:left="1560" w:hanging="416"/>
        <w:jc w:val="both"/>
        <w:rPr>
          <w:rFonts w:ascii="Arial" w:eastAsia="標楷體" w:hAnsi="Arial" w:cs="Arial"/>
          <w:sz w:val="28"/>
          <w:szCs w:val="28"/>
        </w:rPr>
      </w:pPr>
      <w:r w:rsidRPr="000C27E0">
        <w:rPr>
          <w:rFonts w:ascii="Arial" w:eastAsia="標楷體" w:hAnsi="Arial" w:cs="Arial"/>
          <w:sz w:val="28"/>
          <w:szCs w:val="28"/>
        </w:rPr>
        <w:t>5.</w:t>
      </w:r>
      <w:r w:rsidR="000C27E0">
        <w:rPr>
          <w:rFonts w:ascii="Arial" w:eastAsia="標楷體" w:hAnsi="Arial" w:cs="Arial" w:hint="eastAsia"/>
          <w:sz w:val="28"/>
          <w:szCs w:val="28"/>
        </w:rPr>
        <w:tab/>
      </w:r>
      <w:r w:rsidRPr="000C27E0">
        <w:rPr>
          <w:rFonts w:ascii="Arial" w:eastAsia="標楷體" w:hAnsi="Arial" w:cs="Arial"/>
          <w:sz w:val="28"/>
          <w:szCs w:val="28"/>
        </w:rPr>
        <w:t>Those applying business entities or their person in charge that has ever won any of the venture or design contests inside or outside Taiwan.</w:t>
      </w:r>
    </w:p>
    <w:p w:rsidR="00CA1D51" w:rsidRPr="000C27E0" w:rsidRDefault="00CA1D51" w:rsidP="000C27E0">
      <w:pPr>
        <w:spacing w:line="480" w:lineRule="exact"/>
        <w:ind w:left="1134" w:hanging="710"/>
        <w:jc w:val="both"/>
        <w:rPr>
          <w:rFonts w:ascii="Arial" w:eastAsia="標楷體" w:hAnsi="Arial" w:cs="Arial"/>
          <w:sz w:val="28"/>
          <w:szCs w:val="28"/>
        </w:rPr>
      </w:pPr>
      <w:r w:rsidRPr="000C27E0">
        <w:rPr>
          <w:rFonts w:ascii="Arial" w:eastAsia="標楷體" w:hAnsi="Arial" w:cs="Arial"/>
          <w:sz w:val="28"/>
          <w:szCs w:val="28"/>
        </w:rPr>
        <w:t>B.</w:t>
      </w:r>
      <w:r w:rsidR="000C27E0">
        <w:rPr>
          <w:rFonts w:ascii="Arial" w:eastAsia="標楷體" w:hAnsi="Arial" w:cs="Arial" w:hint="eastAsia"/>
          <w:sz w:val="28"/>
          <w:szCs w:val="28"/>
        </w:rPr>
        <w:tab/>
      </w:r>
      <w:r w:rsidRPr="000C27E0">
        <w:rPr>
          <w:rFonts w:ascii="Arial" w:eastAsia="標楷體" w:hAnsi="Arial" w:cs="Arial"/>
          <w:sz w:val="28"/>
          <w:szCs w:val="28"/>
        </w:rPr>
        <w:t xml:space="preserve">Individual Case Consultation: </w:t>
      </w:r>
      <w:r w:rsidR="00BE5123" w:rsidRPr="000C27E0">
        <w:rPr>
          <w:rFonts w:ascii="Arial" w:eastAsia="標楷體" w:hAnsi="Arial" w:cs="Arial"/>
          <w:sz w:val="28"/>
          <w:szCs w:val="28"/>
        </w:rPr>
        <w:t>If the qualifications of the employer do not comply with the provisions of Subparagraphs 1 through 3, Article 39 of the Criteria Standards and the descriptions in general consultation, he or she can propose consultation needs by way of individual case.</w:t>
      </w:r>
    </w:p>
    <w:p w:rsidR="00D26538" w:rsidRPr="000C27E0" w:rsidRDefault="00D26538" w:rsidP="00A742A7">
      <w:pPr>
        <w:spacing w:afterLines="100" w:after="360" w:line="600" w:lineRule="exact"/>
        <w:jc w:val="both"/>
        <w:rPr>
          <w:rFonts w:ascii="Arial" w:eastAsia="標楷體" w:hAnsi="Arial" w:cs="Arial"/>
          <w:b/>
          <w:sz w:val="40"/>
          <w:szCs w:val="40"/>
        </w:rPr>
      </w:pPr>
    </w:p>
    <w:sectPr w:rsidR="00D26538" w:rsidRPr="000C27E0" w:rsidSect="00D26538">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CF" w:rsidRDefault="00A446CF" w:rsidP="00395B56">
      <w:r>
        <w:separator/>
      </w:r>
    </w:p>
  </w:endnote>
  <w:endnote w:type="continuationSeparator" w:id="0">
    <w:p w:rsidR="00A446CF" w:rsidRDefault="00A446CF" w:rsidP="003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CF" w:rsidRDefault="00A446CF" w:rsidP="00395B56">
      <w:r>
        <w:separator/>
      </w:r>
    </w:p>
  </w:footnote>
  <w:footnote w:type="continuationSeparator" w:id="0">
    <w:p w:rsidR="00A446CF" w:rsidRDefault="00A446CF" w:rsidP="0039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98A"/>
    <w:multiLevelType w:val="hybridMultilevel"/>
    <w:tmpl w:val="6F1C1D08"/>
    <w:lvl w:ilvl="0" w:tplc="32986DA2">
      <w:start w:val="1"/>
      <w:numFmt w:val="decimal"/>
      <w:lvlText w:val="%1."/>
      <w:lvlJc w:val="left"/>
      <w:pPr>
        <w:ind w:left="1504" w:hanging="360"/>
      </w:pPr>
      <w:rPr>
        <w:rFonts w:hint="default"/>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1">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1328A"/>
    <w:rsid w:val="000300F0"/>
    <w:rsid w:val="000563A4"/>
    <w:rsid w:val="000B37D4"/>
    <w:rsid w:val="000C27E0"/>
    <w:rsid w:val="001342AA"/>
    <w:rsid w:val="00177B71"/>
    <w:rsid w:val="00197EA7"/>
    <w:rsid w:val="002334DC"/>
    <w:rsid w:val="002474B8"/>
    <w:rsid w:val="00263E22"/>
    <w:rsid w:val="00286C8E"/>
    <w:rsid w:val="002B0D93"/>
    <w:rsid w:val="002C49FC"/>
    <w:rsid w:val="002F00BB"/>
    <w:rsid w:val="00320B2A"/>
    <w:rsid w:val="00332F5C"/>
    <w:rsid w:val="003412C4"/>
    <w:rsid w:val="00357495"/>
    <w:rsid w:val="00395B56"/>
    <w:rsid w:val="003D117F"/>
    <w:rsid w:val="003D37D8"/>
    <w:rsid w:val="004D7601"/>
    <w:rsid w:val="005421CF"/>
    <w:rsid w:val="00554218"/>
    <w:rsid w:val="00554ED4"/>
    <w:rsid w:val="0057565E"/>
    <w:rsid w:val="005C0191"/>
    <w:rsid w:val="00770B89"/>
    <w:rsid w:val="00794A82"/>
    <w:rsid w:val="007B300A"/>
    <w:rsid w:val="007D1530"/>
    <w:rsid w:val="007D4AFC"/>
    <w:rsid w:val="008921E9"/>
    <w:rsid w:val="00916BB1"/>
    <w:rsid w:val="00940C94"/>
    <w:rsid w:val="009645FE"/>
    <w:rsid w:val="009F6917"/>
    <w:rsid w:val="00A446CF"/>
    <w:rsid w:val="00A65815"/>
    <w:rsid w:val="00A742A7"/>
    <w:rsid w:val="00AB3E1A"/>
    <w:rsid w:val="00B02492"/>
    <w:rsid w:val="00B71132"/>
    <w:rsid w:val="00B813BD"/>
    <w:rsid w:val="00B9498E"/>
    <w:rsid w:val="00BB20D8"/>
    <w:rsid w:val="00BE5123"/>
    <w:rsid w:val="00C3384D"/>
    <w:rsid w:val="00CA1D51"/>
    <w:rsid w:val="00D22BF0"/>
    <w:rsid w:val="00D26538"/>
    <w:rsid w:val="00D35784"/>
    <w:rsid w:val="00D6751F"/>
    <w:rsid w:val="00DA4B37"/>
    <w:rsid w:val="00ED17D4"/>
    <w:rsid w:val="00F43E23"/>
    <w:rsid w:val="00F543C0"/>
    <w:rsid w:val="00FA6D45"/>
    <w:rsid w:val="00FE0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Hyperlink"/>
    <w:basedOn w:val="a0"/>
    <w:uiPriority w:val="99"/>
    <w:unhideWhenUsed/>
    <w:rsid w:val="002F0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Hyperlink"/>
    <w:basedOn w:val="a0"/>
    <w:uiPriority w:val="99"/>
    <w:unhideWhenUsed/>
    <w:rsid w:val="002F0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worktaiwan.wda.gov.tw/ezworken/home.jsp?pageno=201508100047&amp;acttype=view&amp;dataserno=2015101000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0510135</cp:lastModifiedBy>
  <cp:revision>3</cp:revision>
  <cp:lastPrinted>2016-08-24T07:34:00Z</cp:lastPrinted>
  <dcterms:created xsi:type="dcterms:W3CDTF">2016-09-19T09:06:00Z</dcterms:created>
  <dcterms:modified xsi:type="dcterms:W3CDTF">2016-09-20T03:21:00Z</dcterms:modified>
</cp:coreProperties>
</file>